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EA150">
      <w:pPr>
        <w:jc w:val="center"/>
        <w:rPr>
          <w:rFonts w:ascii="宋体" w:hAnsi="宋体"/>
          <w:b/>
          <w:bCs/>
          <w:iCs/>
          <w:sz w:val="84"/>
          <w:szCs w:val="84"/>
        </w:rPr>
      </w:pPr>
      <w:r>
        <w:rPr>
          <w:rFonts w:hint="eastAsia" w:ascii="宋体" w:hAnsi="宋体"/>
          <w:b/>
          <w:bCs/>
          <w:iCs/>
          <w:sz w:val="84"/>
          <w:szCs w:val="84"/>
        </w:rPr>
        <w:t>乐山师范学院</w:t>
      </w:r>
    </w:p>
    <w:p w14:paraId="18C76036">
      <w:pPr>
        <w:jc w:val="center"/>
        <w:rPr>
          <w:rFonts w:ascii="楷体" w:hAnsi="楷体" w:eastAsia="楷体"/>
          <w:sz w:val="72"/>
          <w:szCs w:val="72"/>
        </w:rPr>
      </w:pPr>
      <w:r>
        <w:rPr>
          <w:rFonts w:hint="eastAsia" w:ascii="楷体" w:hAnsi="楷体" w:eastAsia="楷体"/>
          <w:sz w:val="72"/>
          <w:szCs w:val="72"/>
        </w:rPr>
        <w:t>教师教学工作计划</w:t>
      </w:r>
    </w:p>
    <w:p w14:paraId="3035CA45">
      <w:r>
        <w:rPr>
          <w:rFonts w:hint="eastAsia"/>
        </w:rPr>
        <w:t xml:space="preserve">                                  </w:t>
      </w:r>
      <w:r>
        <w:t xml:space="preserve">   </w:t>
      </w:r>
      <w:r>
        <w:rPr>
          <w:rFonts w:hint="eastAsia"/>
        </w:rPr>
        <w:t xml:space="preserve">  </w:t>
      </w:r>
    </w:p>
    <w:p w14:paraId="7F20C8F0"/>
    <w:p w14:paraId="07405DCD"/>
    <w:p w14:paraId="1CDF4800">
      <w:r>
        <w:rPr>
          <w:rFonts w:hint="eastAsia"/>
        </w:rPr>
        <w:t xml:space="preserve">                  </w:t>
      </w:r>
    </w:p>
    <w:p w14:paraId="6D0123C8"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课程名称</w:t>
      </w:r>
      <w:r>
        <w:rPr>
          <w:rFonts w:hint="eastAsia" w:ascii="宋体" w:hAnsi="宋体"/>
          <w:sz w:val="44"/>
          <w:szCs w:val="44"/>
          <w:u w:val="single"/>
        </w:rPr>
        <w:t xml:space="preserve">     </w:t>
      </w:r>
      <w:r>
        <w:rPr>
          <w:rFonts w:hint="eastAsia" w:ascii="宋体" w:hAnsi="宋体"/>
          <w:sz w:val="44"/>
          <w:szCs w:val="44"/>
          <w:u w:val="single"/>
          <w:lang w:eastAsia="zh-CN"/>
        </w:rPr>
        <w:t>计量经济学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</w:p>
    <w:p w14:paraId="0DAC7075">
      <w:pPr>
        <w:rPr>
          <w:rFonts w:ascii="宋体" w:hAnsi="宋体"/>
          <w:sz w:val="44"/>
          <w:szCs w:val="44"/>
          <w:u w:val="single"/>
        </w:rPr>
      </w:pPr>
    </w:p>
    <w:p w14:paraId="3AD19DA7">
      <w:pPr>
        <w:rPr>
          <w:rFonts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任课教师</w:t>
      </w:r>
      <w:r>
        <w:rPr>
          <w:rFonts w:hint="eastAsia" w:ascii="宋体" w:hAnsi="宋体"/>
          <w:sz w:val="44"/>
          <w:szCs w:val="44"/>
          <w:u w:val="single"/>
        </w:rPr>
        <w:t xml:space="preserve">      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熊桃    </w:t>
      </w:r>
      <w:r>
        <w:rPr>
          <w:rFonts w:hint="eastAsia" w:ascii="宋体" w:hAnsi="宋体"/>
          <w:sz w:val="44"/>
          <w:szCs w:val="44"/>
          <w:u w:val="single"/>
        </w:rPr>
        <w:t xml:space="preserve">         </w:t>
      </w:r>
    </w:p>
    <w:p w14:paraId="7FC5018C">
      <w:pPr>
        <w:jc w:val="both"/>
        <w:rPr>
          <w:rFonts w:hint="eastAsia" w:ascii="宋体" w:hAnsi="宋体"/>
          <w:sz w:val="44"/>
          <w:szCs w:val="44"/>
        </w:rPr>
      </w:pPr>
    </w:p>
    <w:p w14:paraId="3FE7FAE8">
      <w:pPr>
        <w:ind w:left="0" w:leftChars="0" w:firstLine="638" w:firstLineChars="145"/>
        <w:jc w:val="both"/>
        <w:rPr>
          <w:rFonts w:hint="default" w:ascii="宋体" w:hAnsi="宋体" w:eastAsia="宋体"/>
          <w:sz w:val="44"/>
          <w:szCs w:val="44"/>
          <w:u w:val="single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>授课班级</w:t>
      </w:r>
      <w:r>
        <w:rPr>
          <w:rFonts w:hint="eastAsia" w:ascii="宋体" w:hAnsi="宋体"/>
          <w:sz w:val="44"/>
          <w:szCs w:val="44"/>
          <w:u w:val="single"/>
        </w:rPr>
        <w:t xml:space="preserve">  </w:t>
      </w:r>
      <w:r>
        <w:rPr>
          <w:rFonts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024</w:t>
      </w:r>
      <w:r>
        <w:rPr>
          <w:rFonts w:hint="eastAsia" w:ascii="宋体" w:hAnsi="宋体"/>
          <w:sz w:val="44"/>
          <w:szCs w:val="44"/>
          <w:u w:val="single"/>
        </w:rPr>
        <w:t>级金融数学班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    </w:t>
      </w:r>
    </w:p>
    <w:p w14:paraId="5DC53317">
      <w:pPr>
        <w:jc w:val="center"/>
        <w:rPr>
          <w:rFonts w:ascii="宋体" w:hAnsi="宋体"/>
          <w:sz w:val="44"/>
          <w:szCs w:val="44"/>
          <w:u w:val="single"/>
        </w:rPr>
      </w:pPr>
    </w:p>
    <w:p w14:paraId="03406B93"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上交教研组日期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  <w:r>
        <w:rPr>
          <w:rFonts w:ascii="宋体" w:hAnsi="宋体"/>
          <w:sz w:val="44"/>
          <w:szCs w:val="44"/>
          <w:u w:val="single"/>
        </w:rPr>
        <w:t>20</w:t>
      </w:r>
      <w:r>
        <w:rPr>
          <w:rFonts w:hint="eastAsia"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3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1</w:t>
      </w:r>
      <w:r>
        <w:rPr>
          <w:rFonts w:hint="eastAsia" w:ascii="宋体" w:hAnsi="宋体"/>
          <w:sz w:val="44"/>
          <w:szCs w:val="44"/>
          <w:u w:val="single"/>
        </w:rPr>
        <w:t xml:space="preserve">    </w:t>
      </w:r>
    </w:p>
    <w:p w14:paraId="3CAACA52">
      <w:pPr>
        <w:ind w:firstLine="2640" w:firstLineChars="600"/>
        <w:rPr>
          <w:rFonts w:ascii="宋体" w:hAnsi="宋体"/>
          <w:sz w:val="44"/>
          <w:szCs w:val="44"/>
          <w:u w:val="single"/>
        </w:rPr>
      </w:pPr>
    </w:p>
    <w:p w14:paraId="693B9339">
      <w:pPr>
        <w:ind w:firstLine="2160" w:firstLineChars="600"/>
        <w:rPr>
          <w:rFonts w:ascii="宋体" w:hAnsi="宋体"/>
          <w:sz w:val="36"/>
          <w:u w:val="single"/>
        </w:rPr>
      </w:pPr>
    </w:p>
    <w:p w14:paraId="6BB91B55">
      <w:pPr>
        <w:rPr>
          <w:rFonts w:ascii="宋体" w:hAnsi="宋体"/>
          <w:sz w:val="36"/>
          <w:u w:val="single"/>
        </w:rPr>
      </w:pPr>
    </w:p>
    <w:p w14:paraId="7C42B751">
      <w:pPr>
        <w:rPr>
          <w:rFonts w:ascii="宋体" w:hAnsi="宋体"/>
          <w:sz w:val="36"/>
          <w:u w:val="single"/>
        </w:rPr>
      </w:pPr>
    </w:p>
    <w:p w14:paraId="48748315">
      <w:pPr>
        <w:rPr>
          <w:rFonts w:ascii="宋体" w:hAnsi="宋体"/>
          <w:sz w:val="36"/>
          <w:u w:val="single"/>
        </w:rPr>
      </w:pPr>
    </w:p>
    <w:p w14:paraId="2F87C0C1">
      <w:pPr>
        <w:rPr>
          <w:rFonts w:ascii="宋体" w:hAnsi="宋体"/>
          <w:sz w:val="36"/>
          <w:u w:val="single"/>
        </w:rPr>
      </w:pPr>
    </w:p>
    <w:p w14:paraId="73F995FE">
      <w:pPr>
        <w:jc w:val="center"/>
        <w:outlineLvl w:val="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202</w:t>
      </w:r>
      <w:r>
        <w:rPr>
          <w:rFonts w:hint="eastAsia" w:ascii="宋体" w:hAnsi="宋体"/>
          <w:sz w:val="44"/>
          <w:szCs w:val="44"/>
          <w:lang w:val="en-US" w:eastAsia="zh-CN"/>
        </w:rPr>
        <w:t>5</w:t>
      </w:r>
      <w:r>
        <w:rPr>
          <w:rFonts w:hint="eastAsia" w:ascii="宋体" w:hAnsi="宋体"/>
          <w:sz w:val="44"/>
          <w:szCs w:val="44"/>
        </w:rPr>
        <w:t>—202</w:t>
      </w:r>
      <w:r>
        <w:rPr>
          <w:rFonts w:hint="eastAsia" w:ascii="宋体" w:hAnsi="宋体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/>
          <w:sz w:val="44"/>
          <w:szCs w:val="44"/>
        </w:rPr>
        <w:t>年度第  2  学期</w:t>
      </w:r>
    </w:p>
    <w:p w14:paraId="603A2D94">
      <w:pPr>
        <w:ind w:firstLine="2160" w:firstLineChars="600"/>
        <w:rPr>
          <w:rFonts w:ascii="宋体" w:hAnsi="宋体"/>
          <w:sz w:val="36"/>
        </w:rPr>
      </w:pPr>
    </w:p>
    <w:p w14:paraId="1C1C3C50">
      <w:pPr>
        <w:ind w:firstLine="2160" w:firstLineChars="600"/>
        <w:rPr>
          <w:rFonts w:ascii="宋体" w:hAnsi="宋体"/>
          <w:sz w:val="36"/>
        </w:rPr>
      </w:pPr>
    </w:p>
    <w:p w14:paraId="09EE69F5">
      <w:pPr>
        <w:rPr>
          <w:rFonts w:ascii="宋体" w:hAnsi="宋体"/>
        </w:rPr>
      </w:pPr>
    </w:p>
    <w:p w14:paraId="6F90165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说明</w:t>
      </w:r>
    </w:p>
    <w:p w14:paraId="148B745A">
      <w:pPr>
        <w:spacing w:line="360" w:lineRule="auto"/>
        <w:ind w:firstLine="355" w:firstLineChars="148"/>
        <w:rPr>
          <w:sz w:val="24"/>
        </w:rPr>
      </w:pPr>
      <w:r>
        <w:rPr>
          <w:rFonts w:hint="eastAsia"/>
          <w:sz w:val="24"/>
        </w:rPr>
        <w:t>一、教学工作计划一般应有以下内容。</w:t>
      </w:r>
    </w:p>
    <w:p w14:paraId="50950A72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1、教学目的要求。</w:t>
      </w:r>
    </w:p>
    <w:p w14:paraId="7A039D3D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2、选用教材名称、编者、版本、教师备课主要参考书目，介绍给学生的阅读参考书目。</w:t>
      </w:r>
    </w:p>
    <w:p w14:paraId="4BBDA02D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3、改革教学方法，提高教迷质量的具体措施，如：</w:t>
      </w:r>
    </w:p>
    <w:p w14:paraId="57A37902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（1）处理教材，改革教学方法，培养学生自学的基本考虑。</w:t>
      </w:r>
    </w:p>
    <w:p w14:paraId="1F195D10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（2）作业方式、作业量、作业处理方式。</w:t>
      </w:r>
    </w:p>
    <w:p w14:paraId="735D40A3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（3）辅导措施。</w:t>
      </w:r>
    </w:p>
    <w:p w14:paraId="126E00A3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（4）除通常的讲授课、习题课、实验课、讨论课外，打算安排哪些其它的教学液压动。</w:t>
      </w:r>
    </w:p>
    <w:p w14:paraId="569830E6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（5）对学生的其它要求。</w:t>
      </w:r>
    </w:p>
    <w:p w14:paraId="03526243"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（以上三项可按学期编写，也可按课程周期纺写。）</w:t>
      </w:r>
    </w:p>
    <w:p w14:paraId="4C1F2340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4、课程考核方案：</w:t>
      </w:r>
    </w:p>
    <w:p w14:paraId="5259AF44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（1）考试时间：期末集中或者提前（第16周最后一次课）。</w:t>
      </w:r>
    </w:p>
    <w:p w14:paraId="31E90CA1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（2）课程考核形式（开、闭卷。口试，论文，调查研报告等，）</w:t>
      </w:r>
    </w:p>
    <w:p w14:paraId="4E6A44E6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（3）考核内容、难易度，时间长度，所占课程成绩的比例，采用提前开卷的说明的理由。</w:t>
      </w:r>
    </w:p>
    <w:p w14:paraId="7F4AB36A">
      <w:pPr>
        <w:spacing w:line="360" w:lineRule="auto"/>
        <w:ind w:firstLine="475" w:firstLineChars="198"/>
        <w:rPr>
          <w:sz w:val="24"/>
        </w:rPr>
      </w:pPr>
      <w:r>
        <w:rPr>
          <w:rFonts w:hint="eastAsia"/>
          <w:sz w:val="24"/>
        </w:rPr>
        <w:t>5、教学进度（此项必须按学期填入附表，并向学生公布）。</w:t>
      </w:r>
    </w:p>
    <w:p w14:paraId="1E992CEE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6、需要提供的教具或其它教学条件。</w:t>
      </w:r>
    </w:p>
    <w:p w14:paraId="486A08B0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 w14:paraId="45EBB729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三、本计划一式两份，一份自存，一份于开学后第一周内交教研组讨论审查、补充修改后于第二周内交系。</w:t>
      </w:r>
    </w:p>
    <w:p w14:paraId="40D951E2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四、辅导教师的工作计划由主讲教师指导编写。</w:t>
      </w:r>
    </w:p>
    <w:p w14:paraId="69E560E4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五、教师工作计划执行情况每学期应由教研室组长做两次检查记录。</w:t>
      </w:r>
    </w:p>
    <w:p w14:paraId="5D7A73BF"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六、教师工作计划一学年归档一次。</w:t>
      </w:r>
    </w:p>
    <w:p w14:paraId="6502607B">
      <w:pPr>
        <w:rPr>
          <w:rFonts w:ascii="宋体" w:hAnsi="宋体"/>
        </w:rPr>
      </w:pPr>
    </w:p>
    <w:p w14:paraId="0B5A989B">
      <w:pPr>
        <w:rPr>
          <w:rFonts w:ascii="宋体" w:hAnsi="宋体"/>
        </w:rPr>
      </w:pPr>
    </w:p>
    <w:p w14:paraId="0727005E">
      <w:pPr>
        <w:rPr>
          <w:rFonts w:ascii="宋体" w:hAnsi="宋体"/>
          <w:sz w:val="24"/>
        </w:rPr>
      </w:pPr>
    </w:p>
    <w:p w14:paraId="67DFD949">
      <w:pPr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教学工作计划内容</w:t>
      </w:r>
    </w:p>
    <w:p w14:paraId="3A0ADB63">
      <w:pPr>
        <w:pStyle w:val="2"/>
        <w:spacing w:line="360" w:lineRule="auto"/>
        <w:ind w:right="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一、教学目的</w:t>
      </w:r>
    </w:p>
    <w:p w14:paraId="5DCE183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计量经济学》是金融数学专业的专业基础课程，它主要讲授理论计量经济学的内容，其目的在于使学生掌握理论计量经济学的基本理论、方法和原理，培养实证分析与量化分析的思维能力。通过本课程的学习，学生应达到以下几方面的目标：</w:t>
      </w:r>
    </w:p>
    <w:p w14:paraId="017D6AA1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470" w:firstLineChars="195"/>
        <w:jc w:val="left"/>
        <w:rPr>
          <w:rFonts w:hint="eastAsia" w:ascii="宋体" w:hAnsi="宋体" w:cs="宋体"/>
          <w:color w:val="000000"/>
          <w:sz w:val="24"/>
        </w:rPr>
      </w:pPr>
      <w:r>
        <w:rPr>
          <w:rStyle w:val="6"/>
          <w:rFonts w:hint="eastAsia" w:ascii="宋体" w:hAnsi="宋体" w:cs="宋体"/>
          <w:sz w:val="24"/>
        </w:rPr>
        <w:t>目标1：</w:t>
      </w:r>
      <w:r>
        <w:rPr>
          <w:rStyle w:val="6"/>
          <w:rFonts w:hint="eastAsia" w:ascii="宋体" w:hAnsi="宋体" w:cs="宋体"/>
          <w:b w:val="0"/>
          <w:bCs w:val="0"/>
          <w:sz w:val="24"/>
        </w:rPr>
        <w:t>能够解释</w:t>
      </w:r>
      <w:r>
        <w:rPr>
          <w:rFonts w:hint="eastAsia" w:ascii="宋体" w:hAnsi="宋体" w:cs="宋体"/>
          <w:color w:val="000000"/>
          <w:sz w:val="24"/>
        </w:rPr>
        <w:t>计量经济学的基本概念，能概括计量经济学的基本思想和基本方法。</w:t>
      </w:r>
    </w:p>
    <w:p w14:paraId="5068B4C2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470" w:firstLineChars="195"/>
        <w:jc w:val="left"/>
        <w:rPr>
          <w:rStyle w:val="6"/>
          <w:rFonts w:hint="eastAsia" w:ascii="宋体" w:hAnsi="宋体" w:cs="宋体"/>
          <w:b w:val="0"/>
          <w:bCs w:val="0"/>
          <w:sz w:val="24"/>
        </w:rPr>
      </w:pPr>
      <w:r>
        <w:rPr>
          <w:rStyle w:val="6"/>
          <w:rFonts w:hint="eastAsia" w:ascii="宋体" w:hAnsi="宋体" w:cs="宋体"/>
          <w:sz w:val="24"/>
        </w:rPr>
        <w:t>目标2：</w:t>
      </w:r>
      <w:r>
        <w:rPr>
          <w:rStyle w:val="6"/>
          <w:rFonts w:hint="eastAsia" w:ascii="宋体" w:hAnsi="宋体" w:cs="宋体"/>
          <w:b w:val="0"/>
          <w:bCs w:val="0"/>
          <w:sz w:val="24"/>
        </w:rPr>
        <w:t>能阐述</w:t>
      </w:r>
      <w:r>
        <w:rPr>
          <w:rFonts w:hint="eastAsia" w:ascii="宋体" w:hAnsi="宋体" w:cs="宋体"/>
          <w:color w:val="000000"/>
          <w:sz w:val="24"/>
        </w:rPr>
        <w:t>计量经济学的基本理论和研究内容，并能利用基本理论建立和使用经典线性与非线性计量回归模型。</w:t>
      </w:r>
    </w:p>
    <w:p w14:paraId="4652AE29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470" w:firstLineChars="195"/>
        <w:jc w:val="left"/>
        <w:rPr>
          <w:rFonts w:hint="eastAsia" w:ascii="宋体" w:hAnsi="宋体" w:cs="宋体"/>
          <w:color w:val="000000"/>
          <w:sz w:val="24"/>
        </w:rPr>
      </w:pPr>
      <w:r>
        <w:rPr>
          <w:rStyle w:val="6"/>
          <w:rFonts w:hint="eastAsia" w:ascii="宋体" w:hAnsi="宋体" w:cs="宋体"/>
          <w:sz w:val="24"/>
        </w:rPr>
        <w:t>目标3：</w:t>
      </w:r>
      <w:r>
        <w:rPr>
          <w:rFonts w:hint="eastAsia" w:ascii="宋体" w:hAnsi="宋体" w:cs="宋体"/>
          <w:color w:val="000000"/>
          <w:sz w:val="24"/>
        </w:rPr>
        <w:t>具备运用计量经济学相关理论分析实际案例的能力，能够利用量化思维分析金融问题和实际经济问题，熟悉利用EViews等软件进行数据整理、模型估计、模型检验和优化、模型应用的方法与技巧。</w:t>
      </w:r>
    </w:p>
    <w:p w14:paraId="585C16BC">
      <w:pPr>
        <w:spacing w:line="420" w:lineRule="exact"/>
        <w:ind w:firstLine="472" w:firstLineChars="196"/>
        <w:outlineLvl w:val="0"/>
        <w:rPr>
          <w:rFonts w:hint="eastAsia" w:ascii="宋体" w:hAnsi="宋体" w:eastAsia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目标4：</w:t>
      </w:r>
      <w:r>
        <w:rPr>
          <w:rFonts w:hint="eastAsia" w:ascii="宋体" w:hAnsi="宋体" w:cs="宋体"/>
          <w:color w:val="000000"/>
          <w:sz w:val="24"/>
        </w:rPr>
        <w:t>了解本专业学科发展前沿，能将所学计量经济学知识用于解释本专业领域现象，具备一定的创新精神和创新意识，能学以致用、创造性的解决实际经济量化分析问题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4F1BD98F">
      <w:pPr>
        <w:pStyle w:val="2"/>
        <w:numPr>
          <w:ilvl w:val="0"/>
          <w:numId w:val="1"/>
        </w:numPr>
        <w:spacing w:line="360" w:lineRule="auto"/>
        <w:ind w:right="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教学主要内容和学时分配</w:t>
      </w:r>
    </w:p>
    <w:p w14:paraId="775F95A2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第一章 </w:t>
      </w:r>
      <w:r>
        <w:rPr>
          <w:rFonts w:hint="eastAsia" w:ascii="宋体" w:hAnsi="宋体"/>
          <w:b/>
          <w:sz w:val="24"/>
          <w:szCs w:val="24"/>
          <w:lang w:eastAsia="zh-CN"/>
        </w:rPr>
        <w:t>导论</w:t>
      </w:r>
      <w:r>
        <w:rPr>
          <w:rFonts w:hint="eastAsia" w:ascii="宋体" w:hAnsi="宋体"/>
          <w:b/>
          <w:sz w:val="24"/>
          <w:szCs w:val="24"/>
        </w:rPr>
        <w:t>（4课时）</w:t>
      </w:r>
    </w:p>
    <w:p w14:paraId="3AA36744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什么是计量经济学</w:t>
      </w:r>
    </w:p>
    <w:p w14:paraId="0D159709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第二节 </w:t>
      </w:r>
      <w:r>
        <w:rPr>
          <w:rFonts w:hint="eastAsia" w:ascii="宋体" w:hAnsi="宋体"/>
          <w:sz w:val="24"/>
          <w:szCs w:val="24"/>
          <w:lang w:eastAsia="zh-CN"/>
        </w:rPr>
        <w:t>计量经济学的研究步骤</w:t>
      </w:r>
    </w:p>
    <w:p w14:paraId="3A752FBC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第三节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变量、参数、数据与模型</w:t>
      </w:r>
    </w:p>
    <w:p w14:paraId="3F3D00DD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第二章 </w:t>
      </w:r>
      <w:r>
        <w:rPr>
          <w:rFonts w:hint="eastAsia" w:ascii="宋体" w:hAnsi="宋体"/>
          <w:b/>
          <w:sz w:val="24"/>
          <w:szCs w:val="24"/>
          <w:lang w:eastAsia="zh-CN"/>
        </w:rPr>
        <w:t>简单线性回归</w:t>
      </w:r>
      <w:r>
        <w:rPr>
          <w:rFonts w:hint="eastAsia" w:ascii="宋体" w:hAnsi="宋体"/>
          <w:b/>
          <w:sz w:val="24"/>
          <w:szCs w:val="24"/>
        </w:rPr>
        <w:t>模型（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4D4AE86C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回归分析与回归函数</w:t>
      </w:r>
    </w:p>
    <w:p w14:paraId="201EFBCE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第二节 </w:t>
      </w:r>
      <w:r>
        <w:rPr>
          <w:rFonts w:hint="eastAsia" w:ascii="宋体" w:hAnsi="宋体"/>
          <w:sz w:val="24"/>
          <w:szCs w:val="24"/>
          <w:lang w:eastAsia="zh-CN"/>
        </w:rPr>
        <w:t>简单线性回归</w:t>
      </w:r>
      <w:r>
        <w:rPr>
          <w:rFonts w:hint="eastAsia" w:ascii="宋体" w:hAnsi="宋体"/>
          <w:sz w:val="24"/>
          <w:szCs w:val="24"/>
        </w:rPr>
        <w:t>模型</w:t>
      </w:r>
      <w:r>
        <w:rPr>
          <w:rFonts w:hint="eastAsia" w:ascii="宋体" w:hAnsi="宋体"/>
          <w:sz w:val="24"/>
          <w:szCs w:val="24"/>
          <w:lang w:eastAsia="zh-CN"/>
        </w:rPr>
        <w:t>参数的估计</w:t>
      </w:r>
    </w:p>
    <w:p w14:paraId="197818CD">
      <w:pPr>
        <w:pStyle w:val="2"/>
        <w:spacing w:line="360" w:lineRule="auto"/>
        <w:ind w:right="6" w:firstLine="480" w:firstLineChars="20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第三节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 xml:space="preserve"> 拟合优度的度量</w:t>
      </w:r>
    </w:p>
    <w:p w14:paraId="23CDBCBA">
      <w:pPr>
        <w:pStyle w:val="2"/>
        <w:spacing w:line="360" w:lineRule="auto"/>
        <w:ind w:right="6" w:firstLine="480" w:firstLineChars="200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第四节 回归系数的假设检验和区间估计</w:t>
      </w:r>
    </w:p>
    <w:p w14:paraId="6DDD16A1">
      <w:pPr>
        <w:pStyle w:val="2"/>
        <w:spacing w:line="360" w:lineRule="auto"/>
        <w:ind w:right="6" w:firstLine="480" w:firstLineChars="200"/>
        <w:rPr>
          <w:rFonts w:hint="default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第五节 回归模型的预测</w:t>
      </w:r>
    </w:p>
    <w:p w14:paraId="08E5DB33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第三章 </w:t>
      </w:r>
      <w:r>
        <w:rPr>
          <w:rFonts w:hint="eastAsia" w:ascii="宋体" w:hAnsi="宋体"/>
          <w:b/>
          <w:sz w:val="24"/>
          <w:szCs w:val="24"/>
          <w:lang w:eastAsia="zh-CN"/>
        </w:rPr>
        <w:t>多元线性回归模型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568380FF">
      <w:pPr>
        <w:pStyle w:val="2"/>
        <w:spacing w:line="360" w:lineRule="auto"/>
        <w:ind w:right="6"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多元线性回归模型及古典假定</w:t>
      </w:r>
    </w:p>
    <w:p w14:paraId="12EC5936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二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多元线性回归模型的估计</w:t>
      </w:r>
    </w:p>
    <w:p w14:paraId="4439CACF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多元线性回归模型的假设检验和区间估计</w:t>
      </w:r>
    </w:p>
    <w:p w14:paraId="688093D6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第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</w:rPr>
        <w:t xml:space="preserve">节 </w:t>
      </w:r>
      <w:r>
        <w:rPr>
          <w:rFonts w:hint="eastAsia" w:ascii="宋体" w:hAnsi="宋体"/>
          <w:sz w:val="24"/>
          <w:szCs w:val="24"/>
          <w:lang w:eastAsia="zh-CN"/>
        </w:rPr>
        <w:t>多元线性回归模型的预测</w:t>
      </w:r>
    </w:p>
    <w:p w14:paraId="44D9C2C4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第四章 </w:t>
      </w:r>
      <w:r>
        <w:rPr>
          <w:rFonts w:hint="eastAsia" w:ascii="宋体" w:hAnsi="宋体"/>
          <w:b/>
          <w:sz w:val="24"/>
          <w:szCs w:val="24"/>
          <w:lang w:eastAsia="zh-CN"/>
        </w:rPr>
        <w:t>多重共线性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1ABF72BE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什么是多重共线性</w:t>
      </w:r>
    </w:p>
    <w:p w14:paraId="0D2B10E9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多重共线性产生的后果</w:t>
      </w:r>
    </w:p>
    <w:p w14:paraId="33781712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多重共线性的检验</w:t>
      </w:r>
    </w:p>
    <w:p w14:paraId="1543752C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多重共线性的补救措施</w:t>
      </w:r>
    </w:p>
    <w:p w14:paraId="07A40C1E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第五章 </w:t>
      </w:r>
      <w:r>
        <w:rPr>
          <w:rFonts w:hint="eastAsia" w:ascii="宋体" w:hAnsi="宋体"/>
          <w:b/>
          <w:sz w:val="24"/>
          <w:szCs w:val="24"/>
          <w:lang w:eastAsia="zh-CN"/>
        </w:rPr>
        <w:t>异方差性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07BAEC08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异方差性的概念</w:t>
      </w:r>
    </w:p>
    <w:p w14:paraId="02D835C7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异方差性产生的后果</w:t>
      </w:r>
    </w:p>
    <w:p w14:paraId="008FD942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异方差性的检验</w:t>
      </w:r>
    </w:p>
    <w:p w14:paraId="2DC46AAF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异方差性的补救措施</w:t>
      </w:r>
    </w:p>
    <w:p w14:paraId="3B30933D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第六章 </w:t>
      </w:r>
      <w:r>
        <w:rPr>
          <w:rFonts w:hint="eastAsia" w:ascii="宋体" w:hAnsi="宋体"/>
          <w:b/>
          <w:sz w:val="24"/>
          <w:szCs w:val="24"/>
          <w:lang w:eastAsia="zh-CN"/>
        </w:rPr>
        <w:t>自相关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0BB466C0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自相关的概念</w:t>
      </w:r>
    </w:p>
    <w:p w14:paraId="418D240E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自相关产生的后果</w:t>
      </w:r>
    </w:p>
    <w:p w14:paraId="29752138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自相关的检验</w:t>
      </w:r>
    </w:p>
    <w:p w14:paraId="07894F84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自相关的补救措施</w:t>
      </w:r>
    </w:p>
    <w:p w14:paraId="1AD6E2D2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第七章 </w:t>
      </w:r>
      <w:r>
        <w:rPr>
          <w:rFonts w:hint="eastAsia" w:ascii="宋体" w:hAnsi="宋体"/>
          <w:b/>
          <w:sz w:val="24"/>
          <w:szCs w:val="24"/>
          <w:lang w:eastAsia="zh-CN"/>
        </w:rPr>
        <w:t>分布滞后模型与自回归模型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716EE9CB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第一节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滞后效应和滞后变量模型</w:t>
      </w:r>
    </w:p>
    <w:p w14:paraId="0694A68B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分布滞后模型的估计</w:t>
      </w:r>
    </w:p>
    <w:p w14:paraId="5749B79E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自回归模型的构建</w:t>
      </w:r>
    </w:p>
    <w:p w14:paraId="03BF190F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自回归模型的估计</w:t>
      </w:r>
    </w:p>
    <w:p w14:paraId="2FE9D2A2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第八章 </w:t>
      </w:r>
      <w:r>
        <w:rPr>
          <w:rFonts w:hint="eastAsia" w:ascii="宋体" w:hAnsi="宋体"/>
          <w:b/>
          <w:sz w:val="24"/>
          <w:szCs w:val="24"/>
          <w:lang w:eastAsia="zh-CN"/>
        </w:rPr>
        <w:t>虚拟变量回归</w:t>
      </w:r>
      <w:r>
        <w:rPr>
          <w:rFonts w:hint="eastAsia"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课时）</w:t>
      </w:r>
    </w:p>
    <w:p w14:paraId="5291077A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 xml:space="preserve">第一节 </w:t>
      </w:r>
      <w:r>
        <w:rPr>
          <w:rFonts w:hint="eastAsia" w:ascii="宋体" w:hAnsi="宋体"/>
          <w:sz w:val="24"/>
          <w:szCs w:val="24"/>
          <w:lang w:eastAsia="zh-CN"/>
        </w:rPr>
        <w:t>虚拟变量的概念</w:t>
      </w:r>
    </w:p>
    <w:p w14:paraId="6B3CDBB4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第二节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虚拟解释变量的回归</w:t>
      </w:r>
    </w:p>
    <w:p w14:paraId="23CAA12D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虚拟被解释变量</w:t>
      </w:r>
    </w:p>
    <w:p w14:paraId="5D598DF1">
      <w:pPr>
        <w:pStyle w:val="2"/>
        <w:spacing w:line="360" w:lineRule="auto"/>
        <w:ind w:right="6"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</w:t>
      </w:r>
      <w:r>
        <w:rPr>
          <w:rFonts w:hint="eastAsia" w:ascii="宋体" w:hAnsi="宋体"/>
          <w:b/>
          <w:sz w:val="24"/>
          <w:szCs w:val="24"/>
          <w:lang w:eastAsia="zh-CN"/>
        </w:rPr>
        <w:t>九</w:t>
      </w:r>
      <w:r>
        <w:rPr>
          <w:rFonts w:hint="eastAsia" w:ascii="宋体" w:hAnsi="宋体"/>
          <w:b/>
          <w:sz w:val="24"/>
          <w:szCs w:val="24"/>
        </w:rPr>
        <w:t xml:space="preserve">章 </w:t>
      </w:r>
      <w:r>
        <w:rPr>
          <w:rFonts w:hint="eastAsia" w:ascii="宋体" w:hAnsi="宋体"/>
          <w:b/>
          <w:sz w:val="24"/>
          <w:szCs w:val="24"/>
          <w:lang w:eastAsia="zh-CN"/>
        </w:rPr>
        <w:t>时间序列计量经济模型</w:t>
      </w:r>
      <w:r>
        <w:rPr>
          <w:rFonts w:hint="eastAsia" w:ascii="宋体" w:hAnsi="宋体"/>
          <w:b/>
          <w:sz w:val="24"/>
          <w:szCs w:val="24"/>
        </w:rPr>
        <w:t>（6课时）</w:t>
      </w:r>
    </w:p>
    <w:p w14:paraId="56F39575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时间序列计量经济模型分析的基本概念</w:t>
      </w:r>
    </w:p>
    <w:p w14:paraId="32306A41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时间序列平稳性的单位根检验</w:t>
      </w:r>
    </w:p>
    <w:p w14:paraId="1E3CB186"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协整</w:t>
      </w:r>
    </w:p>
    <w:p w14:paraId="043DCC84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格兰杰因果检验</w:t>
      </w:r>
    </w:p>
    <w:p w14:paraId="0AAA6B90"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</w:p>
    <w:p w14:paraId="1930C243">
      <w:pPr>
        <w:pStyle w:val="2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三、教材、参考书</w:t>
      </w:r>
    </w:p>
    <w:p w14:paraId="77C92313">
      <w:pPr>
        <w:pStyle w:val="2"/>
        <w:spacing w:line="360" w:lineRule="auto"/>
        <w:ind w:right="6" w:firstLine="482" w:firstLineChars="200"/>
        <w:rPr>
          <w:rFonts w:hint="default" w:ascii="宋体" w:hAnsi="宋体"/>
          <w:sz w:val="24"/>
          <w:szCs w:val="24"/>
          <w:lang w:val="en-US"/>
        </w:rPr>
      </w:pPr>
      <w:r>
        <w:rPr>
          <w:rFonts w:hint="eastAsia" w:ascii="宋体" w:hAnsi="宋体"/>
          <w:b/>
          <w:sz w:val="24"/>
          <w:szCs w:val="24"/>
        </w:rPr>
        <w:t>1.选用教材</w:t>
      </w:r>
      <w:r>
        <w:rPr>
          <w:rFonts w:hint="eastAsia" w:ascii="宋体" w:hAnsi="宋体"/>
          <w:sz w:val="24"/>
          <w:szCs w:val="24"/>
        </w:rPr>
        <w:t>：《</w:t>
      </w:r>
      <w:r>
        <w:rPr>
          <w:rFonts w:hint="eastAsia" w:ascii="宋体" w:hAnsi="宋体"/>
          <w:sz w:val="24"/>
          <w:szCs w:val="24"/>
          <w:lang w:eastAsia="zh-CN"/>
        </w:rPr>
        <w:t>计量经济学</w:t>
      </w:r>
      <w:r>
        <w:rPr>
          <w:rFonts w:hint="eastAsia" w:ascii="宋体" w:hAnsi="宋体"/>
          <w:sz w:val="24"/>
          <w:szCs w:val="24"/>
        </w:rPr>
        <w:t>》，第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</w:rPr>
        <w:t>版，</w:t>
      </w:r>
      <w:r>
        <w:rPr>
          <w:rFonts w:hint="eastAsia" w:ascii="宋体" w:hAnsi="宋体"/>
          <w:sz w:val="24"/>
          <w:szCs w:val="24"/>
          <w:lang w:eastAsia="zh-CN"/>
        </w:rPr>
        <w:t>庞皓</w:t>
      </w:r>
      <w:r>
        <w:rPr>
          <w:rFonts w:hint="eastAsia" w:ascii="宋体" w:hAnsi="宋体"/>
          <w:sz w:val="24"/>
          <w:szCs w:val="24"/>
        </w:rPr>
        <w:t>主编，</w:t>
      </w:r>
      <w:r>
        <w:rPr>
          <w:rFonts w:hint="eastAsia" w:ascii="宋体" w:hAnsi="宋体"/>
          <w:sz w:val="24"/>
          <w:szCs w:val="24"/>
          <w:lang w:eastAsia="zh-CN"/>
        </w:rPr>
        <w:t>科学</w:t>
      </w:r>
      <w:r>
        <w:rPr>
          <w:rFonts w:hint="eastAsia" w:ascii="宋体" w:hAnsi="宋体"/>
          <w:sz w:val="24"/>
          <w:szCs w:val="24"/>
        </w:rPr>
        <w:t>出版社，20</w:t>
      </w:r>
      <w:r>
        <w:rPr>
          <w:rFonts w:hint="eastAsia" w:ascii="宋体" w:hAnsi="宋体"/>
          <w:sz w:val="24"/>
          <w:szCs w:val="24"/>
          <w:lang w:val="en-US" w:eastAsia="zh-CN"/>
        </w:rPr>
        <w:t>23.11</w:t>
      </w:r>
    </w:p>
    <w:p w14:paraId="20CD5AA7">
      <w:pPr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2.参考书目</w:t>
      </w:r>
      <w:r>
        <w:rPr>
          <w:rFonts w:hint="eastAsia" w:ascii="宋体" w:hAnsi="宋体"/>
          <w:sz w:val="24"/>
          <w:szCs w:val="24"/>
        </w:rPr>
        <w:t>：</w:t>
      </w:r>
    </w:p>
    <w:p w14:paraId="18D9A869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1]</w:t>
      </w:r>
      <w:r>
        <w:rPr>
          <w:rFonts w:hint="eastAsia" w:ascii="宋体" w:hAnsi="宋体" w:cs="Arial"/>
          <w:color w:val="333333"/>
          <w:kern w:val="0"/>
          <w:sz w:val="24"/>
        </w:rPr>
        <w:t>《计量经济学》，李子奈，潘文卿，高等教育出版社，2015年第3版。</w:t>
      </w:r>
    </w:p>
    <w:p w14:paraId="3AEDFF64">
      <w:pPr>
        <w:widowControl/>
        <w:spacing w:line="360" w:lineRule="auto"/>
        <w:ind w:left="423"/>
        <w:jc w:val="left"/>
        <w:rPr>
          <w:rFonts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2]</w:t>
      </w:r>
      <w:r>
        <w:rPr>
          <w:rFonts w:hint="eastAsia" w:ascii="宋体" w:hAnsi="宋体" w:cs="Arial"/>
          <w:color w:val="333333"/>
          <w:kern w:val="0"/>
          <w:sz w:val="24"/>
        </w:rPr>
        <w:t>《计量经济学基础》，D．N．古扎拉蒂著，林少宫译，中国人民大学出版社，2005年第4版。</w:t>
      </w:r>
    </w:p>
    <w:p w14:paraId="3BFDF77D">
      <w:pPr>
        <w:widowControl/>
        <w:spacing w:line="360" w:lineRule="auto"/>
        <w:ind w:left="423"/>
        <w:jc w:val="left"/>
        <w:rPr>
          <w:rFonts w:hint="eastAsia"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3]</w:t>
      </w:r>
      <w:r>
        <w:rPr>
          <w:rFonts w:hint="eastAsia" w:ascii="宋体" w:hAnsi="宋体" w:cs="Arial"/>
          <w:color w:val="333333"/>
          <w:kern w:val="0"/>
          <w:sz w:val="24"/>
        </w:rPr>
        <w:t>《计量经济学导论:现代观点》，[美]J.M.伍德里奇著，中国人民大学出版社，2003。</w:t>
      </w:r>
    </w:p>
    <w:p w14:paraId="6DB9E98A">
      <w:pPr>
        <w:widowControl/>
        <w:spacing w:line="360" w:lineRule="auto"/>
        <w:ind w:left="423"/>
        <w:jc w:val="left"/>
        <w:rPr>
          <w:rFonts w:hint="eastAsia" w:ascii="宋体" w:hAnsi="宋体" w:cs="Arial"/>
          <w:color w:val="333333"/>
          <w:kern w:val="0"/>
          <w:sz w:val="24"/>
        </w:rPr>
      </w:pPr>
      <w:r>
        <w:rPr>
          <w:rFonts w:hint="eastAsia" w:ascii="宋体" w:hAnsi="宋体" w:cs="Arial"/>
          <w:color w:val="333333"/>
          <w:kern w:val="0"/>
          <w:sz w:val="24"/>
        </w:rPr>
        <w:t>[</w:t>
      </w:r>
      <w:r>
        <w:rPr>
          <w:rFonts w:ascii="宋体" w:hAnsi="宋体" w:cs="Arial"/>
          <w:color w:val="333333"/>
          <w:kern w:val="0"/>
          <w:sz w:val="24"/>
        </w:rPr>
        <w:t>4]</w:t>
      </w:r>
      <w:r>
        <w:rPr>
          <w:rFonts w:hint="eastAsia" w:ascii="宋体" w:hAnsi="宋体" w:cs="Arial"/>
          <w:color w:val="333333"/>
          <w:kern w:val="0"/>
          <w:sz w:val="24"/>
        </w:rPr>
        <w:t>《计量经济学软件EViews使用指南》，张晓峒，南开大学出版社，2004年第2版。</w:t>
      </w:r>
    </w:p>
    <w:p w14:paraId="4D115FED">
      <w:pPr>
        <w:pStyle w:val="2"/>
        <w:spacing w:line="360" w:lineRule="auto"/>
        <w:ind w:left="479" w:leftChars="228" w:right="6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24"/>
        </w:rPr>
        <w:t>四、</w:t>
      </w:r>
      <w:r>
        <w:rPr>
          <w:rFonts w:hint="eastAsia"/>
          <w:b/>
          <w:sz w:val="24"/>
        </w:rPr>
        <w:t>改革教学方法，提高教学质量的具体措施</w:t>
      </w:r>
    </w:p>
    <w:p w14:paraId="6A3B5A18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1.采用以原理为中心的讲课模式，即：</w:t>
      </w:r>
    </w:p>
    <w:p w14:paraId="316C75AF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一般性概括→对一般性概括的证明→解释、类比、例证、演示、实验→对一般性概括的复述→总结</w:t>
      </w:r>
    </w:p>
    <w:p w14:paraId="3581D27A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2.处理教材</w:t>
      </w:r>
    </w:p>
    <w:p w14:paraId="6AA8752F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课前要深入钻研教学大纲、教材，分析教学重点、难点，在了解学生的学习基础、兴趣、学风、纪律等各种因素的基础上，从实际出发，确定相应的教学手段，根据教学内容本身的逻辑体系，深入研究教法，确定如何做到教师的讲解、学生的练习与教学手段的有机结合，并且应当及时地收集反馈信息，进行总结，改进教法。</w:t>
      </w:r>
    </w:p>
    <w:p w14:paraId="465EFF6F"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3.教学方法</w:t>
      </w:r>
    </w:p>
    <w:p w14:paraId="7E8DFD61">
      <w:pPr>
        <w:adjustRightInd w:val="0"/>
        <w:snapToGrid w:val="0"/>
        <w:spacing w:line="360" w:lineRule="auto"/>
        <w:ind w:firstLine="480" w:firstLineChars="200"/>
        <w:rPr>
          <w:rStyle w:val="6"/>
          <w:rFonts w:hint="eastAsia" w:ascii="宋体" w:hAnsi="宋体" w:cs="Courier New"/>
          <w:b w:val="0"/>
          <w:kern w:val="0"/>
          <w:sz w:val="24"/>
        </w:rPr>
      </w:pPr>
      <w:r>
        <w:rPr>
          <w:rStyle w:val="6"/>
          <w:rFonts w:hint="eastAsia" w:ascii="宋体" w:hAnsi="宋体" w:cs="宋体"/>
          <w:b w:val="0"/>
          <w:bCs w:val="0"/>
          <w:sz w:val="24"/>
        </w:rPr>
        <w:t>采取线上线下混合式教学手段：根据课程具体内容，采用多媒体课件、板书、在线教育和实际操作等混合式教学手段，以此充分</w:t>
      </w:r>
      <w:r>
        <w:rPr>
          <w:rStyle w:val="6"/>
          <w:rFonts w:hint="eastAsia" w:ascii="宋体" w:hAnsi="宋体"/>
          <w:b w:val="0"/>
          <w:sz w:val="24"/>
        </w:rPr>
        <w:t>调动学生课内、课外参与学习的积极性，发挥学生学习的主体能动性。</w:t>
      </w:r>
    </w:p>
    <w:p w14:paraId="7D2CCA2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五、作业及成绩考核方式</w:t>
      </w:r>
    </w:p>
    <w:p w14:paraId="54350760">
      <w:pPr>
        <w:spacing w:line="42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（一）作业</w:t>
      </w:r>
    </w:p>
    <w:p w14:paraId="318034A2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1.作业处置：每学期批改次数不少于4次，每次批改数量不少于1/2.</w:t>
      </w:r>
    </w:p>
    <w:p w14:paraId="67603C6A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2.辅导：随机个别或集体答疑.</w:t>
      </w:r>
    </w:p>
    <w:p w14:paraId="28924A9D"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3.要求: 多读参考书, 尽量独立完成教材上全部习题.</w:t>
      </w:r>
    </w:p>
    <w:p w14:paraId="7EB6CE21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（二）考核方式</w:t>
      </w:r>
    </w:p>
    <w:p w14:paraId="73717E30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1.考试时间：120分钟；</w:t>
      </w:r>
    </w:p>
    <w:p w14:paraId="486B7044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2.考核方式：期末闭卷考试；</w:t>
      </w:r>
    </w:p>
    <w:p w14:paraId="26FAF58B"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3.总成绩其中平时成绩</w:t>
      </w:r>
      <w:r>
        <w:rPr>
          <w:rFonts w:hint="eastAsia" w:ascii="宋体" w:hAnsi="宋体"/>
          <w:b/>
          <w:bCs/>
          <w:sz w:val="24"/>
          <w:szCs w:val="24"/>
        </w:rPr>
        <w:t>（含平时作业成绩、平时测验成绩、课堂表现</w:t>
      </w:r>
      <w:r>
        <w:rPr>
          <w:rFonts w:hint="eastAsia" w:ascii="宋体" w:hAnsi="宋体"/>
          <w:sz w:val="24"/>
          <w:szCs w:val="24"/>
        </w:rPr>
        <w:t>）占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0%、期末考试成绩占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0%，成绩记载采用百分制。</w:t>
      </w:r>
    </w:p>
    <w:p w14:paraId="3A04E0E0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六、教学进度</w:t>
      </w:r>
    </w:p>
    <w:p w14:paraId="3734E883">
      <w:pPr>
        <w:spacing w:line="720" w:lineRule="exact"/>
        <w:jc w:val="center"/>
        <w:rPr>
          <w:rFonts w:ascii="宋体" w:hAnsi="宋体"/>
          <w:b/>
          <w:sz w:val="52"/>
        </w:rPr>
      </w:pPr>
      <w:r>
        <w:rPr>
          <w:rFonts w:hint="eastAsia" w:ascii="宋体" w:hAnsi="宋体"/>
          <w:b/>
          <w:sz w:val="52"/>
        </w:rPr>
        <w:t>教学进度表</w:t>
      </w:r>
    </w:p>
    <w:p w14:paraId="3E546B27">
      <w:pPr>
        <w:jc w:val="center"/>
        <w:rPr>
          <w:rFonts w:ascii="宋体" w:hAnsi="宋体"/>
          <w:sz w:val="10"/>
          <w:szCs w:val="10"/>
        </w:rPr>
      </w:pPr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3547"/>
        <w:gridCol w:w="684"/>
        <w:gridCol w:w="684"/>
        <w:gridCol w:w="684"/>
        <w:gridCol w:w="684"/>
        <w:gridCol w:w="684"/>
        <w:gridCol w:w="945"/>
      </w:tblGrid>
      <w:tr w14:paraId="32ED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454" w:type="dxa"/>
            <w:vMerge w:val="restart"/>
            <w:tcBorders>
              <w:right w:val="single" w:color="000000" w:sz="4" w:space="0"/>
            </w:tcBorders>
            <w:vAlign w:val="center"/>
          </w:tcPr>
          <w:p w14:paraId="474F68D0">
            <w:pPr>
              <w:spacing w:line="260" w:lineRule="exact"/>
              <w:jc w:val="center"/>
            </w:pPr>
          </w:p>
          <w:p w14:paraId="0C88A3DF">
            <w:pPr>
              <w:spacing w:line="260" w:lineRule="exact"/>
              <w:jc w:val="center"/>
            </w:pPr>
            <w:r>
              <w:rPr>
                <w:rFonts w:hint="eastAsia"/>
              </w:rPr>
              <w:t>周</w:t>
            </w:r>
          </w:p>
          <w:p w14:paraId="2D963ED1">
            <w:pPr>
              <w:spacing w:line="260" w:lineRule="exact"/>
              <w:jc w:val="center"/>
            </w:pPr>
          </w:p>
          <w:p w14:paraId="388D0F81">
            <w:pPr>
              <w:spacing w:line="260" w:lineRule="exact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47" w:type="dxa"/>
            <w:vMerge w:val="restart"/>
            <w:tcBorders>
              <w:left w:val="single" w:color="000000" w:sz="4" w:space="0"/>
            </w:tcBorders>
            <w:vAlign w:val="center"/>
          </w:tcPr>
          <w:p w14:paraId="437A861F"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3420" w:type="dxa"/>
            <w:gridSpan w:val="5"/>
            <w:tcBorders>
              <w:bottom w:val="single" w:color="000000" w:sz="4" w:space="0"/>
            </w:tcBorders>
            <w:vAlign w:val="center"/>
          </w:tcPr>
          <w:p w14:paraId="463D78A7"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945" w:type="dxa"/>
            <w:vMerge w:val="restart"/>
            <w:vAlign w:val="center"/>
          </w:tcPr>
          <w:p w14:paraId="422E50A6">
            <w:pPr>
              <w:jc w:val="center"/>
            </w:pPr>
            <w:r>
              <w:rPr>
                <w:rFonts w:hint="eastAsia"/>
              </w:rPr>
              <w:t>备      注</w:t>
            </w:r>
          </w:p>
        </w:tc>
      </w:tr>
      <w:tr w14:paraId="599F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454" w:type="dxa"/>
            <w:vMerge w:val="continue"/>
            <w:tcBorders>
              <w:right w:val="single" w:color="000000" w:sz="4" w:space="0"/>
            </w:tcBorders>
            <w:vAlign w:val="center"/>
          </w:tcPr>
          <w:p w14:paraId="34F64C86">
            <w:pPr>
              <w:jc w:val="center"/>
            </w:pPr>
          </w:p>
        </w:tc>
        <w:tc>
          <w:tcPr>
            <w:tcW w:w="3547" w:type="dxa"/>
            <w:vMerge w:val="continue"/>
            <w:tcBorders>
              <w:left w:val="single" w:color="000000" w:sz="4" w:space="0"/>
            </w:tcBorders>
            <w:vAlign w:val="center"/>
          </w:tcPr>
          <w:p w14:paraId="475F0A4D">
            <w:pPr>
              <w:widowControl/>
              <w:jc w:val="center"/>
            </w:pP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762CE33B">
            <w:pPr>
              <w:spacing w:line="260" w:lineRule="exact"/>
              <w:jc w:val="center"/>
            </w:pPr>
            <w:r>
              <w:rPr>
                <w:rFonts w:hint="eastAsia"/>
              </w:rPr>
              <w:t>讲</w:t>
            </w:r>
          </w:p>
          <w:p w14:paraId="7ECE942E">
            <w:pPr>
              <w:spacing w:line="260" w:lineRule="exact"/>
              <w:jc w:val="center"/>
            </w:pPr>
            <w:r>
              <w:rPr>
                <w:rFonts w:hint="eastAsia"/>
              </w:rPr>
              <w:t>授</w:t>
            </w:r>
          </w:p>
          <w:p w14:paraId="4054CE99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03624532">
            <w:pPr>
              <w:spacing w:line="260" w:lineRule="exact"/>
              <w:jc w:val="center"/>
            </w:pPr>
            <w:r>
              <w:rPr>
                <w:rFonts w:hint="eastAsia"/>
              </w:rPr>
              <w:t>习</w:t>
            </w:r>
          </w:p>
          <w:p w14:paraId="4E511CFD">
            <w:pPr>
              <w:spacing w:line="260" w:lineRule="exact"/>
              <w:jc w:val="center"/>
            </w:pPr>
            <w:r>
              <w:rPr>
                <w:rFonts w:hint="eastAsia"/>
              </w:rPr>
              <w:t>题</w:t>
            </w:r>
          </w:p>
          <w:p w14:paraId="599E0CFE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6A7F9C10"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  <w:p w14:paraId="7087C870">
            <w:pPr>
              <w:spacing w:line="260" w:lineRule="exact"/>
              <w:jc w:val="center"/>
            </w:pPr>
            <w:r>
              <w:rPr>
                <w:rFonts w:hint="eastAsia"/>
              </w:rPr>
              <w:t>堂</w:t>
            </w:r>
          </w:p>
          <w:p w14:paraId="000B03C6">
            <w:pPr>
              <w:spacing w:line="260" w:lineRule="exact"/>
              <w:jc w:val="center"/>
            </w:pPr>
            <w:r>
              <w:rPr>
                <w:rFonts w:hint="eastAsia"/>
              </w:rPr>
              <w:t>讨</w:t>
            </w:r>
          </w:p>
          <w:p w14:paraId="7D3BB9C4">
            <w:pPr>
              <w:spacing w:line="260" w:lineRule="exact"/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18E33107">
            <w:pPr>
              <w:spacing w:line="260" w:lineRule="exact"/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 w14:paraId="59CD0879">
            <w:pPr>
              <w:spacing w:line="260" w:lineRule="exact"/>
              <w:jc w:val="center"/>
            </w:pPr>
            <w:r>
              <w:rPr>
                <w:rFonts w:hint="eastAsia"/>
              </w:rPr>
              <w:t>作</w:t>
            </w:r>
          </w:p>
          <w:p w14:paraId="7A70930D">
            <w:pPr>
              <w:spacing w:line="260" w:lineRule="exact"/>
              <w:jc w:val="center"/>
            </w:pPr>
            <w:r>
              <w:rPr>
                <w:rFonts w:hint="eastAsia"/>
              </w:rPr>
              <w:t>业</w:t>
            </w:r>
          </w:p>
          <w:p w14:paraId="388CCE4D">
            <w:pPr>
              <w:spacing w:line="260" w:lineRule="exact"/>
              <w:jc w:val="center"/>
            </w:pPr>
            <w:r>
              <w:rPr>
                <w:rFonts w:hint="eastAsia"/>
              </w:rPr>
              <w:t>形</w:t>
            </w:r>
          </w:p>
          <w:p w14:paraId="40DBBB24">
            <w:pPr>
              <w:spacing w:line="260" w:lineRule="exact"/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945" w:type="dxa"/>
            <w:vMerge w:val="continue"/>
            <w:vAlign w:val="center"/>
          </w:tcPr>
          <w:p w14:paraId="5ED7865F"/>
        </w:tc>
      </w:tr>
      <w:tr w14:paraId="7D97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46F8ABA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7203B856">
            <w:r>
              <w:rPr>
                <w:rFonts w:hint="eastAsia"/>
              </w:rPr>
              <w:t xml:space="preserve">第一章 </w:t>
            </w:r>
            <w:r>
              <w:rPr>
                <w:rFonts w:hint="eastAsia"/>
                <w:lang w:eastAsia="zh-CN"/>
              </w:rPr>
              <w:t>导论</w:t>
            </w:r>
          </w:p>
          <w:p w14:paraId="738EB01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什么是计量经济学</w:t>
            </w:r>
          </w:p>
          <w:p w14:paraId="179C500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第二节 </w:t>
            </w:r>
            <w:r>
              <w:rPr>
                <w:rFonts w:hint="eastAsia"/>
                <w:lang w:eastAsia="zh-CN"/>
              </w:rPr>
              <w:t>计量经济学的研究步骤</w:t>
            </w:r>
          </w:p>
          <w:p w14:paraId="4967846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第三节</w:t>
            </w:r>
            <w:r>
              <w:rPr>
                <w:rFonts w:hint="eastAsia"/>
                <w:lang w:val="en-US" w:eastAsia="zh-CN"/>
              </w:rPr>
              <w:t xml:space="preserve"> 变量、参数、数据与模型</w:t>
            </w:r>
          </w:p>
          <w:p w14:paraId="49AA8349"/>
        </w:tc>
        <w:tc>
          <w:tcPr>
            <w:tcW w:w="684" w:type="dxa"/>
            <w:vAlign w:val="center"/>
          </w:tcPr>
          <w:p w14:paraId="4A169EA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6D62D074">
            <w:pPr>
              <w:jc w:val="center"/>
            </w:pPr>
          </w:p>
        </w:tc>
        <w:tc>
          <w:tcPr>
            <w:tcW w:w="684" w:type="dxa"/>
            <w:vAlign w:val="center"/>
          </w:tcPr>
          <w:p w14:paraId="2827D3E2">
            <w:pPr>
              <w:jc w:val="center"/>
            </w:pPr>
          </w:p>
        </w:tc>
        <w:tc>
          <w:tcPr>
            <w:tcW w:w="684" w:type="dxa"/>
            <w:vAlign w:val="center"/>
          </w:tcPr>
          <w:p w14:paraId="3F75D673">
            <w:pPr>
              <w:jc w:val="center"/>
            </w:pPr>
          </w:p>
        </w:tc>
        <w:tc>
          <w:tcPr>
            <w:tcW w:w="684" w:type="dxa"/>
            <w:vAlign w:val="center"/>
          </w:tcPr>
          <w:p w14:paraId="396FEEE9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CB47331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2B80E93">
            <w:pPr>
              <w:ind w:firstLine="105" w:firstLineChars="50"/>
            </w:pPr>
          </w:p>
        </w:tc>
      </w:tr>
      <w:tr w14:paraId="5A6B6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046EDC5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34F2D16">
            <w:r>
              <w:rPr>
                <w:rFonts w:hint="eastAsia"/>
              </w:rPr>
              <w:t xml:space="preserve">第二章 </w:t>
            </w:r>
            <w:r>
              <w:rPr>
                <w:rFonts w:hint="eastAsia"/>
                <w:lang w:eastAsia="zh-CN"/>
              </w:rPr>
              <w:t>简单线性回归</w:t>
            </w:r>
            <w:r>
              <w:rPr>
                <w:rFonts w:hint="eastAsia"/>
              </w:rPr>
              <w:t>模型</w:t>
            </w:r>
          </w:p>
          <w:p w14:paraId="1FD27B8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回归分析与回归函数</w:t>
            </w:r>
          </w:p>
          <w:p w14:paraId="177691FC">
            <w:pPr>
              <w:rPr>
                <w:bCs/>
                <w:szCs w:val="21"/>
              </w:rPr>
            </w:pPr>
            <w:r>
              <w:rPr>
                <w:rFonts w:hint="eastAsia"/>
              </w:rPr>
              <w:t xml:space="preserve">第二节 </w:t>
            </w:r>
            <w:r>
              <w:rPr>
                <w:rFonts w:hint="eastAsia"/>
                <w:lang w:eastAsia="zh-CN"/>
              </w:rPr>
              <w:t>简单线性回归</w:t>
            </w:r>
            <w:r>
              <w:rPr>
                <w:rFonts w:hint="eastAsia"/>
              </w:rPr>
              <w:t>模型</w:t>
            </w:r>
            <w:r>
              <w:rPr>
                <w:rFonts w:hint="eastAsia"/>
                <w:lang w:eastAsia="zh-CN"/>
              </w:rPr>
              <w:t>参数的估计</w:t>
            </w:r>
          </w:p>
        </w:tc>
        <w:tc>
          <w:tcPr>
            <w:tcW w:w="684" w:type="dxa"/>
            <w:vAlign w:val="center"/>
          </w:tcPr>
          <w:p w14:paraId="05818AA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40A7AAF1"/>
        </w:tc>
        <w:tc>
          <w:tcPr>
            <w:tcW w:w="684" w:type="dxa"/>
            <w:vAlign w:val="center"/>
          </w:tcPr>
          <w:p w14:paraId="7A6CC985">
            <w:pPr>
              <w:jc w:val="center"/>
            </w:pPr>
          </w:p>
        </w:tc>
        <w:tc>
          <w:tcPr>
            <w:tcW w:w="684" w:type="dxa"/>
            <w:vAlign w:val="center"/>
          </w:tcPr>
          <w:p w14:paraId="48052F3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2B990E93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4F3F484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BF8A7BA"/>
        </w:tc>
      </w:tr>
      <w:tr w14:paraId="1DE91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349C6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29F45CB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第三节</w:t>
            </w:r>
            <w:r>
              <w:rPr>
                <w:rFonts w:hint="eastAsia"/>
                <w:lang w:val="en-US" w:eastAsia="zh-CN"/>
              </w:rPr>
              <w:t xml:space="preserve"> 拟合优度的度量</w:t>
            </w:r>
          </w:p>
          <w:p w14:paraId="2017FCDB">
            <w:r>
              <w:rPr>
                <w:rFonts w:hint="eastAsia"/>
                <w:lang w:val="en-US" w:eastAsia="zh-CN"/>
              </w:rPr>
              <w:t>第四节 回归系数的假设检验和区间估计</w:t>
            </w:r>
          </w:p>
        </w:tc>
        <w:tc>
          <w:tcPr>
            <w:tcW w:w="684" w:type="dxa"/>
            <w:vAlign w:val="center"/>
          </w:tcPr>
          <w:p w14:paraId="67BC2A1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69C4FDD8"/>
        </w:tc>
        <w:tc>
          <w:tcPr>
            <w:tcW w:w="684" w:type="dxa"/>
            <w:vAlign w:val="center"/>
          </w:tcPr>
          <w:p w14:paraId="397CB63C">
            <w:pPr>
              <w:jc w:val="center"/>
            </w:pPr>
          </w:p>
        </w:tc>
        <w:tc>
          <w:tcPr>
            <w:tcW w:w="684" w:type="dxa"/>
            <w:vAlign w:val="center"/>
          </w:tcPr>
          <w:p w14:paraId="519F0A7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0D5CE098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853D9FA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1D54705C"/>
        </w:tc>
      </w:tr>
      <w:tr w14:paraId="6E5E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B89A1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1FD20F1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第五节 回归模型的预测</w:t>
            </w:r>
          </w:p>
          <w:p w14:paraId="1AB0C981">
            <w:r>
              <w:rPr>
                <w:rFonts w:hint="eastAsia"/>
              </w:rPr>
              <w:t xml:space="preserve">第三章 </w:t>
            </w:r>
            <w:r>
              <w:rPr>
                <w:rFonts w:hint="eastAsia"/>
                <w:lang w:eastAsia="zh-CN"/>
              </w:rPr>
              <w:t>多元线性回归模型</w:t>
            </w:r>
          </w:p>
          <w:p w14:paraId="7CF78752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第一节 </w:t>
            </w:r>
            <w:r>
              <w:rPr>
                <w:rFonts w:hint="eastAsia"/>
                <w:lang w:eastAsia="zh-CN"/>
              </w:rPr>
              <w:t>多元线性回归模型及古典假定</w:t>
            </w:r>
          </w:p>
          <w:p w14:paraId="6461B43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多元线性回归模型的估计</w:t>
            </w:r>
          </w:p>
          <w:p w14:paraId="5FAC1B59">
            <w:pPr>
              <w:pStyle w:val="2"/>
              <w:spacing w:line="360" w:lineRule="auto"/>
              <w:ind w:right="6"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14:paraId="34443FE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71CAD1F2"/>
        </w:tc>
        <w:tc>
          <w:tcPr>
            <w:tcW w:w="684" w:type="dxa"/>
            <w:vAlign w:val="center"/>
          </w:tcPr>
          <w:p w14:paraId="2A921716">
            <w:pPr>
              <w:jc w:val="center"/>
            </w:pPr>
          </w:p>
        </w:tc>
        <w:tc>
          <w:tcPr>
            <w:tcW w:w="684" w:type="dxa"/>
            <w:vAlign w:val="center"/>
          </w:tcPr>
          <w:p w14:paraId="28243E5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5FBC214B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284EF685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128EA502">
            <w:pPr>
              <w:ind w:firstLine="105" w:firstLineChars="50"/>
            </w:pPr>
          </w:p>
        </w:tc>
      </w:tr>
      <w:tr w14:paraId="548F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1964E93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16929DE2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多元线性回归模型的假设检验和区间估计</w:t>
            </w:r>
          </w:p>
          <w:p w14:paraId="1BBAB3AF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 xml:space="preserve">节 </w:t>
            </w:r>
            <w:r>
              <w:rPr>
                <w:rFonts w:hint="eastAsia"/>
                <w:lang w:eastAsia="zh-CN"/>
              </w:rPr>
              <w:t>多元线性回归模型的预测</w:t>
            </w:r>
          </w:p>
          <w:p w14:paraId="36814BE1">
            <w:pPr>
              <w:pStyle w:val="2"/>
              <w:spacing w:line="360" w:lineRule="auto"/>
              <w:ind w:right="6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 w14:paraId="1C4A8D6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7E0C581"/>
        </w:tc>
        <w:tc>
          <w:tcPr>
            <w:tcW w:w="684" w:type="dxa"/>
            <w:vAlign w:val="center"/>
          </w:tcPr>
          <w:p w14:paraId="303F890A">
            <w:pPr>
              <w:jc w:val="center"/>
            </w:pPr>
          </w:p>
        </w:tc>
        <w:tc>
          <w:tcPr>
            <w:tcW w:w="684" w:type="dxa"/>
            <w:vAlign w:val="center"/>
          </w:tcPr>
          <w:p w14:paraId="11BDA3D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05528006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26BEEF5F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7A340BC0">
            <w:pPr>
              <w:ind w:firstLine="105" w:firstLineChars="50"/>
            </w:pPr>
          </w:p>
        </w:tc>
      </w:tr>
      <w:tr w14:paraId="24FF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23BBA3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E46BDE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第四章 多重共线性</w:t>
            </w:r>
          </w:p>
          <w:p w14:paraId="208C08C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什么是多重共线性</w:t>
            </w:r>
          </w:p>
          <w:p w14:paraId="25EE6A2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多重共线性产生的后果</w:t>
            </w:r>
          </w:p>
          <w:p w14:paraId="0F5C173D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47B09AD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571E47B"/>
        </w:tc>
        <w:tc>
          <w:tcPr>
            <w:tcW w:w="684" w:type="dxa"/>
            <w:vAlign w:val="center"/>
          </w:tcPr>
          <w:p w14:paraId="59723FE0">
            <w:pPr>
              <w:jc w:val="center"/>
            </w:pPr>
          </w:p>
        </w:tc>
        <w:tc>
          <w:tcPr>
            <w:tcW w:w="684" w:type="dxa"/>
            <w:vAlign w:val="center"/>
          </w:tcPr>
          <w:p w14:paraId="1D7EE9E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12CAF412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49340D60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445423B3"/>
        </w:tc>
      </w:tr>
      <w:tr w14:paraId="286E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BBE08F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529E66D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多重共线性的检验</w:t>
            </w:r>
          </w:p>
          <w:p w14:paraId="7B99EE3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第四节 多重共线性的补救措施</w:t>
            </w:r>
          </w:p>
          <w:p w14:paraId="382CFAF6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3A2561A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72F5146B"/>
        </w:tc>
        <w:tc>
          <w:tcPr>
            <w:tcW w:w="684" w:type="dxa"/>
            <w:vAlign w:val="center"/>
          </w:tcPr>
          <w:p w14:paraId="0AE59CF7">
            <w:pPr>
              <w:jc w:val="center"/>
            </w:pPr>
          </w:p>
        </w:tc>
        <w:tc>
          <w:tcPr>
            <w:tcW w:w="684" w:type="dxa"/>
            <w:vAlign w:val="center"/>
          </w:tcPr>
          <w:p w14:paraId="052DD03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6B7D8B11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CC8217E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1481F02C"/>
        </w:tc>
      </w:tr>
      <w:tr w14:paraId="06AB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7465E1E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FEA7FBD">
            <w:pPr>
              <w:numPr>
                <w:ilvl w:val="0"/>
                <w:numId w:val="2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异方差性</w:t>
            </w:r>
          </w:p>
          <w:p w14:paraId="1FCCD7E2">
            <w:pPr>
              <w:numPr>
                <w:ilvl w:val="0"/>
                <w:numId w:val="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异方差性的概念</w:t>
            </w:r>
          </w:p>
          <w:p w14:paraId="77062C9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异方差性产生的后果</w:t>
            </w:r>
          </w:p>
          <w:p w14:paraId="31C0F18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异方差性的检验</w:t>
            </w:r>
          </w:p>
          <w:p w14:paraId="5E60ECDA">
            <w:pPr>
              <w:rPr>
                <w:rFonts w:hint="default"/>
                <w:lang w:val="en-US" w:eastAsia="zh-CN"/>
              </w:rPr>
            </w:pPr>
          </w:p>
          <w:p w14:paraId="502BAB4D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206157F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0555D96C"/>
        </w:tc>
        <w:tc>
          <w:tcPr>
            <w:tcW w:w="684" w:type="dxa"/>
            <w:vAlign w:val="center"/>
          </w:tcPr>
          <w:p w14:paraId="5CD7D2BF">
            <w:pPr>
              <w:jc w:val="center"/>
            </w:pPr>
          </w:p>
        </w:tc>
        <w:tc>
          <w:tcPr>
            <w:tcW w:w="684" w:type="dxa"/>
            <w:vAlign w:val="center"/>
          </w:tcPr>
          <w:p w14:paraId="29B02F2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 w14:paraId="488B5460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270CAB58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78D3C1D6"/>
        </w:tc>
      </w:tr>
      <w:tr w14:paraId="693E4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7C2618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0AA61AB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第四节 异方差性的补救措施</w:t>
            </w:r>
          </w:p>
          <w:p w14:paraId="1AA12AC5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第六章 自相关</w:t>
            </w:r>
          </w:p>
          <w:p w14:paraId="3627D2B0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 自相关的概念</w:t>
            </w:r>
          </w:p>
          <w:p w14:paraId="11FAF5B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第二节</w:t>
            </w:r>
            <w:r>
              <w:rPr>
                <w:rFonts w:hint="eastAsia"/>
                <w:lang w:val="en-US" w:eastAsia="zh-CN"/>
              </w:rPr>
              <w:t xml:space="preserve"> 自相关产生的后果</w:t>
            </w:r>
          </w:p>
          <w:p w14:paraId="63AEF963">
            <w:pPr>
              <w:rPr>
                <w:rFonts w:hint="eastAsia"/>
                <w:lang w:eastAsia="zh-CN"/>
              </w:rPr>
            </w:pPr>
          </w:p>
        </w:tc>
        <w:tc>
          <w:tcPr>
            <w:tcW w:w="684" w:type="dxa"/>
            <w:vAlign w:val="center"/>
          </w:tcPr>
          <w:p w14:paraId="5C084F4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A3C5609"/>
        </w:tc>
        <w:tc>
          <w:tcPr>
            <w:tcW w:w="684" w:type="dxa"/>
            <w:vAlign w:val="center"/>
          </w:tcPr>
          <w:p w14:paraId="4E00C547">
            <w:pPr>
              <w:jc w:val="center"/>
            </w:pPr>
          </w:p>
        </w:tc>
        <w:tc>
          <w:tcPr>
            <w:tcW w:w="684" w:type="dxa"/>
            <w:vAlign w:val="center"/>
          </w:tcPr>
          <w:p w14:paraId="226C55C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 w14:paraId="339A4319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395C4A8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7202A254"/>
        </w:tc>
      </w:tr>
      <w:tr w14:paraId="7664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3A7F5BE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7A759E0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自相关的检验</w:t>
            </w:r>
          </w:p>
          <w:p w14:paraId="1EFF7378">
            <w:pPr>
              <w:rPr>
                <w:bCs/>
                <w:szCs w:val="21"/>
              </w:rPr>
            </w:pPr>
            <w:r>
              <w:rPr>
                <w:rFonts w:hint="eastAsia"/>
                <w:lang w:val="en-US" w:eastAsia="zh-CN"/>
              </w:rPr>
              <w:t>第四节 自相关的补救措施</w:t>
            </w:r>
          </w:p>
        </w:tc>
        <w:tc>
          <w:tcPr>
            <w:tcW w:w="684" w:type="dxa"/>
            <w:vAlign w:val="center"/>
          </w:tcPr>
          <w:p w14:paraId="7719AB6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2E2CAA7D"/>
        </w:tc>
        <w:tc>
          <w:tcPr>
            <w:tcW w:w="684" w:type="dxa"/>
            <w:vAlign w:val="center"/>
          </w:tcPr>
          <w:p w14:paraId="6FE8BB79">
            <w:pPr>
              <w:jc w:val="center"/>
            </w:pPr>
          </w:p>
        </w:tc>
        <w:tc>
          <w:tcPr>
            <w:tcW w:w="684" w:type="dxa"/>
            <w:vAlign w:val="center"/>
          </w:tcPr>
          <w:p w14:paraId="586C73A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1629D6E2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29544559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2088400"/>
        </w:tc>
      </w:tr>
      <w:tr w14:paraId="4DAB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1639186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33366888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第七章 </w:t>
            </w:r>
            <w:r>
              <w:rPr>
                <w:rFonts w:hint="eastAsia"/>
                <w:bCs/>
                <w:szCs w:val="21"/>
                <w:lang w:eastAsia="zh-CN"/>
              </w:rPr>
              <w:t>分布滞后模型与自回归模型</w:t>
            </w:r>
          </w:p>
          <w:p w14:paraId="68EEB3CE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第一节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滞后效应和滞后变量模型</w:t>
            </w:r>
          </w:p>
          <w:p w14:paraId="7FCBC060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分布滞后模型的估计</w:t>
            </w:r>
          </w:p>
          <w:p w14:paraId="2355E356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46A936B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84" w:type="dxa"/>
            <w:vAlign w:val="center"/>
          </w:tcPr>
          <w:p w14:paraId="2770A03A"/>
        </w:tc>
        <w:tc>
          <w:tcPr>
            <w:tcW w:w="684" w:type="dxa"/>
            <w:vAlign w:val="center"/>
          </w:tcPr>
          <w:p w14:paraId="34C2DBF4">
            <w:pPr>
              <w:jc w:val="center"/>
            </w:pPr>
          </w:p>
        </w:tc>
        <w:tc>
          <w:tcPr>
            <w:tcW w:w="684" w:type="dxa"/>
            <w:vAlign w:val="center"/>
          </w:tcPr>
          <w:p w14:paraId="20DB7B4B">
            <w:pPr>
              <w:jc w:val="center"/>
            </w:pPr>
          </w:p>
        </w:tc>
        <w:tc>
          <w:tcPr>
            <w:tcW w:w="684" w:type="dxa"/>
            <w:vAlign w:val="center"/>
          </w:tcPr>
          <w:p w14:paraId="2B803668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4ED778A0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4B3146E6"/>
        </w:tc>
      </w:tr>
      <w:tr w14:paraId="45E7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7A1526B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1B5F6F89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自回归模型的构建</w:t>
            </w:r>
          </w:p>
          <w:p w14:paraId="4C29F06C"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自回归模型的估计</w:t>
            </w:r>
          </w:p>
          <w:p w14:paraId="465ED3BA"/>
        </w:tc>
        <w:tc>
          <w:tcPr>
            <w:tcW w:w="684" w:type="dxa"/>
            <w:vAlign w:val="center"/>
          </w:tcPr>
          <w:p w14:paraId="06618657">
            <w:r>
              <w:rPr>
                <w:rFonts w:hint="eastAsia"/>
              </w:rPr>
              <w:t>3</w:t>
            </w:r>
          </w:p>
        </w:tc>
        <w:tc>
          <w:tcPr>
            <w:tcW w:w="684" w:type="dxa"/>
            <w:vAlign w:val="center"/>
          </w:tcPr>
          <w:p w14:paraId="5E4A6C53"/>
        </w:tc>
        <w:tc>
          <w:tcPr>
            <w:tcW w:w="684" w:type="dxa"/>
            <w:vAlign w:val="center"/>
          </w:tcPr>
          <w:p w14:paraId="099ECC2C">
            <w:pPr>
              <w:jc w:val="center"/>
            </w:pPr>
          </w:p>
        </w:tc>
        <w:tc>
          <w:tcPr>
            <w:tcW w:w="684" w:type="dxa"/>
            <w:vAlign w:val="center"/>
          </w:tcPr>
          <w:p w14:paraId="3CC2D9E8">
            <w:pPr>
              <w:jc w:val="center"/>
            </w:pPr>
          </w:p>
        </w:tc>
        <w:tc>
          <w:tcPr>
            <w:tcW w:w="684" w:type="dxa"/>
            <w:vAlign w:val="center"/>
          </w:tcPr>
          <w:p w14:paraId="55E04B94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8853F91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4ED03120"/>
        </w:tc>
      </w:tr>
      <w:tr w14:paraId="30D5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6F59FE7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4C8492F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第八章 </w:t>
            </w:r>
            <w:r>
              <w:rPr>
                <w:rFonts w:hint="eastAsia"/>
                <w:bCs/>
                <w:szCs w:val="21"/>
                <w:lang w:eastAsia="zh-CN"/>
              </w:rPr>
              <w:t>虚拟变量回归</w:t>
            </w:r>
          </w:p>
          <w:p w14:paraId="4F7276B9">
            <w:pPr>
              <w:rPr>
                <w:rFonts w:hint="eastAsia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</w:rPr>
              <w:t xml:space="preserve">第一节 </w:t>
            </w:r>
            <w:r>
              <w:rPr>
                <w:rFonts w:hint="eastAsia"/>
                <w:bCs/>
                <w:szCs w:val="21"/>
                <w:lang w:eastAsia="zh-CN"/>
              </w:rPr>
              <w:t>虚拟变量的概念</w:t>
            </w:r>
          </w:p>
          <w:p w14:paraId="095A5985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第二节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虚拟解释变量的回归</w:t>
            </w:r>
          </w:p>
          <w:p w14:paraId="5A679F37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34A63591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31C10FDA"/>
        </w:tc>
        <w:tc>
          <w:tcPr>
            <w:tcW w:w="684" w:type="dxa"/>
            <w:vAlign w:val="center"/>
          </w:tcPr>
          <w:p w14:paraId="5CE5398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7E809E76">
            <w:pPr>
              <w:jc w:val="center"/>
            </w:pPr>
          </w:p>
        </w:tc>
        <w:tc>
          <w:tcPr>
            <w:tcW w:w="684" w:type="dxa"/>
            <w:vAlign w:val="center"/>
          </w:tcPr>
          <w:p w14:paraId="08390F7D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76E20C61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6871D41C"/>
        </w:tc>
      </w:tr>
      <w:tr w14:paraId="5C110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40DD6EA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1514577F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虚拟被解释变量</w:t>
            </w:r>
          </w:p>
          <w:p w14:paraId="448F5A3C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10319331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4468703B"/>
        </w:tc>
        <w:tc>
          <w:tcPr>
            <w:tcW w:w="684" w:type="dxa"/>
            <w:vAlign w:val="center"/>
          </w:tcPr>
          <w:p w14:paraId="551616C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2BA18027">
            <w:pPr>
              <w:jc w:val="center"/>
            </w:pPr>
          </w:p>
        </w:tc>
        <w:tc>
          <w:tcPr>
            <w:tcW w:w="684" w:type="dxa"/>
            <w:vAlign w:val="center"/>
          </w:tcPr>
          <w:p w14:paraId="5971347A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0B95FD7C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0EB0107"/>
        </w:tc>
      </w:tr>
      <w:tr w14:paraId="73DB1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03F7A07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2D6D921C">
            <w:pPr>
              <w:rPr>
                <w:rFonts w:hint="eastAsia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rFonts w:hint="eastAsia"/>
                <w:bCs/>
                <w:szCs w:val="21"/>
                <w:lang w:eastAsia="zh-CN"/>
              </w:rPr>
              <w:t>九</w:t>
            </w:r>
            <w:r>
              <w:rPr>
                <w:rFonts w:hint="eastAsia"/>
                <w:bCs/>
                <w:szCs w:val="21"/>
              </w:rPr>
              <w:t xml:space="preserve">章 </w:t>
            </w:r>
            <w:r>
              <w:rPr>
                <w:rFonts w:hint="eastAsia"/>
                <w:bCs/>
                <w:szCs w:val="21"/>
                <w:lang w:eastAsia="zh-CN"/>
              </w:rPr>
              <w:t>时间序列计量经济模型</w:t>
            </w:r>
          </w:p>
          <w:p w14:paraId="7CD0857E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时间序列计量经济模型分析的基本概念</w:t>
            </w:r>
          </w:p>
          <w:p w14:paraId="47DA05A6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时间序列平稳性的单位根检验</w:t>
            </w:r>
          </w:p>
          <w:p w14:paraId="403E472A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2F3AA48C"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 w14:paraId="383EA20C">
            <w:r>
              <w:rPr>
                <w:rFonts w:hint="eastAsia"/>
              </w:rPr>
              <w:t>1</w:t>
            </w:r>
          </w:p>
        </w:tc>
        <w:tc>
          <w:tcPr>
            <w:tcW w:w="684" w:type="dxa"/>
            <w:vAlign w:val="center"/>
          </w:tcPr>
          <w:p w14:paraId="277AE3A9">
            <w:pPr>
              <w:jc w:val="center"/>
            </w:pPr>
          </w:p>
        </w:tc>
        <w:tc>
          <w:tcPr>
            <w:tcW w:w="684" w:type="dxa"/>
            <w:vAlign w:val="center"/>
          </w:tcPr>
          <w:p w14:paraId="0ECBB587">
            <w:pPr>
              <w:jc w:val="center"/>
            </w:pPr>
          </w:p>
        </w:tc>
        <w:tc>
          <w:tcPr>
            <w:tcW w:w="684" w:type="dxa"/>
            <w:vAlign w:val="center"/>
          </w:tcPr>
          <w:p w14:paraId="421B6DBA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5036F347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0DF95EBB"/>
        </w:tc>
      </w:tr>
      <w:tr w14:paraId="67B44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5BDCC4F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2C5823A6"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协整</w:t>
            </w:r>
          </w:p>
          <w:p w14:paraId="76BE2394"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格兰杰因果检验</w:t>
            </w:r>
          </w:p>
          <w:p w14:paraId="1D3FC7F9"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5142BFA7">
            <w:r>
              <w:rPr>
                <w:rFonts w:hint="eastAsia"/>
              </w:rPr>
              <w:t>3</w:t>
            </w:r>
          </w:p>
        </w:tc>
        <w:tc>
          <w:tcPr>
            <w:tcW w:w="684" w:type="dxa"/>
            <w:vAlign w:val="center"/>
          </w:tcPr>
          <w:p w14:paraId="41344BD6"/>
        </w:tc>
        <w:tc>
          <w:tcPr>
            <w:tcW w:w="684" w:type="dxa"/>
            <w:vAlign w:val="center"/>
          </w:tcPr>
          <w:p w14:paraId="08E03E94">
            <w:pPr>
              <w:jc w:val="center"/>
            </w:pPr>
          </w:p>
        </w:tc>
        <w:tc>
          <w:tcPr>
            <w:tcW w:w="684" w:type="dxa"/>
            <w:vAlign w:val="center"/>
          </w:tcPr>
          <w:p w14:paraId="76B5B7E9">
            <w:pPr>
              <w:jc w:val="center"/>
            </w:pPr>
          </w:p>
        </w:tc>
        <w:tc>
          <w:tcPr>
            <w:tcW w:w="684" w:type="dxa"/>
            <w:vAlign w:val="center"/>
          </w:tcPr>
          <w:p w14:paraId="65D32DD3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338E6F0D"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 w14:paraId="27A1F5A6"/>
        </w:tc>
      </w:tr>
      <w:tr w14:paraId="06EB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 w14:paraId="2A004A90">
            <w:pPr>
              <w:jc w:val="center"/>
            </w:pPr>
            <w:r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 w14:paraId="6C285B35"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64</w:t>
            </w:r>
          </w:p>
        </w:tc>
        <w:tc>
          <w:tcPr>
            <w:tcW w:w="684" w:type="dxa"/>
            <w:vAlign w:val="center"/>
          </w:tcPr>
          <w:p w14:paraId="18B894C2"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48</w:t>
            </w:r>
          </w:p>
        </w:tc>
        <w:tc>
          <w:tcPr>
            <w:tcW w:w="684" w:type="dxa"/>
            <w:vAlign w:val="center"/>
          </w:tcPr>
          <w:p w14:paraId="19B4F275"/>
        </w:tc>
        <w:tc>
          <w:tcPr>
            <w:tcW w:w="684" w:type="dxa"/>
            <w:vAlign w:val="center"/>
          </w:tcPr>
          <w:p w14:paraId="69DAB19D">
            <w:pPr>
              <w:jc w:val="center"/>
            </w:pPr>
          </w:p>
        </w:tc>
        <w:tc>
          <w:tcPr>
            <w:tcW w:w="684" w:type="dxa"/>
            <w:vAlign w:val="center"/>
          </w:tcPr>
          <w:p w14:paraId="4300795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684" w:type="dxa"/>
            <w:vAlign w:val="center"/>
          </w:tcPr>
          <w:p w14:paraId="31F6F14A">
            <w:pPr>
              <w:jc w:val="center"/>
            </w:pPr>
            <w:r>
              <w:rPr>
                <w:rFonts w:hint="eastAsia"/>
              </w:rPr>
              <w:t>课堂练习+</w:t>
            </w:r>
          </w:p>
          <w:p w14:paraId="6E87F800">
            <w:pPr>
              <w:jc w:val="center"/>
            </w:pPr>
            <w:r>
              <w:rPr>
                <w:rFonts w:hint="eastAsia"/>
              </w:rPr>
              <w:t>课后</w:t>
            </w:r>
          </w:p>
          <w:p w14:paraId="171ABAFF">
            <w:pPr>
              <w:jc w:val="center"/>
            </w:pPr>
            <w:r>
              <w:rPr>
                <w:rFonts w:hint="eastAsia"/>
              </w:rPr>
              <w:t>练习</w:t>
            </w:r>
          </w:p>
        </w:tc>
        <w:tc>
          <w:tcPr>
            <w:tcW w:w="945" w:type="dxa"/>
            <w:vAlign w:val="center"/>
          </w:tcPr>
          <w:p w14:paraId="7163A7D2"/>
        </w:tc>
      </w:tr>
    </w:tbl>
    <w:p w14:paraId="69FF2796">
      <w:pPr>
        <w:rPr>
          <w:rFonts w:ascii="宋体" w:hAnsi="宋体"/>
          <w:sz w:val="24"/>
        </w:rPr>
      </w:pPr>
    </w:p>
    <w:p w14:paraId="6D4BE1D4">
      <w:pPr>
        <w:spacing w:line="720" w:lineRule="exact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教研室审查意见：</w:t>
      </w:r>
      <w:r>
        <w:rPr>
          <w:rFonts w:ascii="宋体" w:hAnsi="宋体"/>
          <w:sz w:val="52"/>
        </w:rPr>
        <w:t xml:space="preserve"> </w:t>
      </w:r>
    </w:p>
    <w:p w14:paraId="60707EF6">
      <w:pPr>
        <w:spacing w:line="720" w:lineRule="exact"/>
        <w:jc w:val="right"/>
        <w:rPr>
          <w:rFonts w:hint="eastAsia" w:ascii="宋体" w:hAnsi="宋体"/>
          <w:sz w:val="28"/>
        </w:rPr>
      </w:pPr>
    </w:p>
    <w:p w14:paraId="69B0157D">
      <w:pPr>
        <w:spacing w:line="720" w:lineRule="exact"/>
        <w:jc w:val="right"/>
        <w:rPr>
          <w:rFonts w:hint="eastAsia" w:ascii="宋体" w:hAnsi="宋体"/>
          <w:sz w:val="28"/>
        </w:rPr>
      </w:pPr>
    </w:p>
    <w:p w14:paraId="68D98FB2">
      <w:pPr>
        <w:spacing w:line="720" w:lineRule="exact"/>
        <w:jc w:val="righ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          </w:t>
      </w:r>
    </w:p>
    <w:p w14:paraId="123C16FF">
      <w:pPr>
        <w:spacing w:line="720" w:lineRule="exact"/>
        <w:jc w:val="righ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教研室主任签名：                                                     202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 月  日</w:t>
      </w:r>
    </w:p>
    <w:p w14:paraId="27C3FF03"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</w:p>
    <w:p w14:paraId="3C6D2AF1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执行情况检查记载</w:t>
      </w:r>
    </w:p>
    <w:p w14:paraId="0025EF98">
      <w:pPr>
        <w:spacing w:line="720" w:lineRule="exac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第一次:</w:t>
      </w:r>
    </w:p>
    <w:p w14:paraId="4F7F9699">
      <w:pPr>
        <w:spacing w:line="720" w:lineRule="exact"/>
        <w:rPr>
          <w:rFonts w:ascii="宋体" w:hAnsi="宋体"/>
          <w:sz w:val="32"/>
        </w:rPr>
      </w:pPr>
    </w:p>
    <w:p w14:paraId="62E0036F">
      <w:pPr>
        <w:spacing w:line="720" w:lineRule="exact"/>
        <w:rPr>
          <w:rFonts w:ascii="宋体" w:hAnsi="宋体"/>
          <w:sz w:val="32"/>
        </w:rPr>
      </w:pPr>
    </w:p>
    <w:p w14:paraId="34B81049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                           教研室主任签名: </w:t>
      </w:r>
    </w:p>
    <w:p w14:paraId="2FF86CB3">
      <w:pPr>
        <w:spacing w:line="720" w:lineRule="exact"/>
        <w:ind w:firstLine="4800" w:firstLineChars="15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   年     月     日</w:t>
      </w:r>
    </w:p>
    <w:p w14:paraId="776086E5">
      <w:pPr>
        <w:spacing w:line="720" w:lineRule="exact"/>
        <w:rPr>
          <w:rFonts w:ascii="宋体" w:hAnsi="宋体"/>
        </w:rPr>
      </w:pP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                              </w:t>
      </w:r>
      <w:r>
        <w:rPr>
          <w:rFonts w:hint="eastAsia" w:ascii="宋体" w:hAnsi="宋体"/>
        </w:rPr>
        <w:t xml:space="preserve"> </w:t>
      </w:r>
    </w:p>
    <w:p w14:paraId="4C00159B">
      <w:pPr>
        <w:spacing w:line="720" w:lineRule="exact"/>
        <w:ind w:firstLine="42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第二次 </w:t>
      </w:r>
    </w:p>
    <w:p w14:paraId="7D612A3A">
      <w:pPr>
        <w:spacing w:line="720" w:lineRule="exact"/>
        <w:ind w:firstLine="420"/>
        <w:rPr>
          <w:rFonts w:ascii="宋体" w:hAnsi="宋体"/>
          <w:sz w:val="32"/>
        </w:rPr>
      </w:pPr>
    </w:p>
    <w:p w14:paraId="16A7AFCF">
      <w:pPr>
        <w:spacing w:line="720" w:lineRule="exact"/>
        <w:ind w:firstLine="420"/>
        <w:rPr>
          <w:rFonts w:ascii="宋体" w:hAnsi="宋体"/>
          <w:sz w:val="32"/>
        </w:rPr>
      </w:pPr>
    </w:p>
    <w:p w14:paraId="5AE57B53">
      <w:pPr>
        <w:spacing w:line="720" w:lineRule="exact"/>
        <w:ind w:firstLine="4160" w:firstLineChars="13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教研室主任签名: </w:t>
      </w:r>
    </w:p>
    <w:p w14:paraId="58EE2E90">
      <w:pPr>
        <w:spacing w:line="720" w:lineRule="exact"/>
        <w:jc w:val="right"/>
        <w:rPr>
          <w:rFonts w:ascii="方正姚体" w:hAnsi="宋体" w:eastAsia="方正姚体"/>
        </w:rPr>
      </w:pPr>
      <w:r>
        <w:rPr>
          <w:rFonts w:hint="eastAsia" w:ascii="宋体" w:hAnsi="宋体"/>
          <w:sz w:val="32"/>
        </w:rPr>
        <w:t>20   年     月     日</w:t>
      </w:r>
      <w:r>
        <w:rPr>
          <w:rFonts w:hint="eastAsia" w:ascii="方正姚体" w:hAnsi="宋体" w:eastAsia="方正姚体"/>
          <w:sz w:val="36"/>
        </w:rPr>
        <w:t xml:space="preserve">               </w:t>
      </w:r>
    </w:p>
    <w:p w14:paraId="69B6E327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5761">
    <w:pPr>
      <w:pStyle w:val="3"/>
      <w:ind w:firstLine="4500" w:firstLineChars="2500"/>
    </w:pPr>
    <w:r>
      <w:fldChar w:fldCharType="begin"/>
    </w:r>
    <w:r>
      <w:rPr>
        <w:rStyle w:val="7"/>
      </w:rPr>
      <w:instrText xml:space="preserve"> PAGE </w:instrText>
    </w:r>
    <w:r>
      <w:fldChar w:fldCharType="separate"/>
    </w:r>
    <w:r>
      <w:rPr>
        <w:rStyle w:val="7"/>
      </w:rPr>
      <w:t>8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7F4A7"/>
    <w:multiLevelType w:val="singleLevel"/>
    <w:tmpl w:val="D457F4A7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58A985BE"/>
    <w:multiLevelType w:val="singleLevel"/>
    <w:tmpl w:val="58A985B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OTlkNzAwZDBmZjNkODU3OTVhN2Y2NDc0YjcwMTAifQ=="/>
  </w:docVars>
  <w:rsids>
    <w:rsidRoot w:val="00B4476E"/>
    <w:rsid w:val="00073917"/>
    <w:rsid w:val="003D19F6"/>
    <w:rsid w:val="00412F4B"/>
    <w:rsid w:val="00747815"/>
    <w:rsid w:val="0074799F"/>
    <w:rsid w:val="00A83E74"/>
    <w:rsid w:val="00B4476E"/>
    <w:rsid w:val="00D54697"/>
    <w:rsid w:val="00D569EC"/>
    <w:rsid w:val="00E84E90"/>
    <w:rsid w:val="00EB0E57"/>
    <w:rsid w:val="1BBF15FB"/>
    <w:rsid w:val="1C3310EC"/>
    <w:rsid w:val="29DE4E10"/>
    <w:rsid w:val="2AF91C9E"/>
    <w:rsid w:val="596C3F71"/>
    <w:rsid w:val="5F5356D0"/>
    <w:rsid w:val="72D2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ind w:right="-1675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customStyle="1" w:styleId="8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3033</Words>
  <Characters>3128</Characters>
  <Lines>25</Lines>
  <Paragraphs>7</Paragraphs>
  <TotalTime>1</TotalTime>
  <ScaleCrop>false</ScaleCrop>
  <LinksUpToDate>false</LinksUpToDate>
  <CharactersWithSpaces>3574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2021-03-19T04:13:00Z</dcterms:created>
  <dc:creator>风轻无痕</dc:creator>
  <cp:lastModifiedBy>熊桃</cp:lastModifiedBy>
  <dcterms:modified xsi:type="dcterms:W3CDTF">2026-03-04T03:32:30Z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5B66D38D6CAF42BC9D34440D88719D47</vt:lpwstr>
  </property>
  <property fmtid="{D5CDD505-2E9C-101B-9397-08002B2CF9AE}" pid="4" name="KSOTemplateDocerSaveRecord">
    <vt:lpwstr>eyJoZGlkIjoiOTIzNDU4NDY2Y2U0MmU5N2Q1NzRmZTczOWRmNDI1ZWIiLCJ1c2VySWQiOiIyMDUzNTYxMjgifQ==</vt:lpwstr>
  </property>
</Properties>
</file>